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drawings/drawing5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8CE48" w14:textId="10AE66FC" w:rsidR="00A811D2" w:rsidRDefault="00A811D2" w:rsidP="00A811D2">
      <w:pPr>
        <w:jc w:val="center"/>
        <w:rPr>
          <w:rFonts w:cs="Times New Roman"/>
          <w:b/>
          <w:bCs/>
          <w:sz w:val="28"/>
          <w:szCs w:val="28"/>
        </w:rPr>
      </w:pPr>
      <w:bookmarkStart w:id="0" w:name="OLE_LINK6"/>
      <w:r>
        <w:rPr>
          <w:rFonts w:cs="Times New Roman" w:hint="eastAsia"/>
          <w:b/>
          <w:bCs/>
          <w:sz w:val="28"/>
          <w:szCs w:val="28"/>
        </w:rPr>
        <w:t>附录</w:t>
      </w:r>
    </w:p>
    <w:bookmarkEnd w:id="0"/>
    <w:p w14:paraId="456E585A" w14:textId="036A1123" w:rsidR="00A811D2" w:rsidRDefault="00A811D2" w:rsidP="00A811D2">
      <w:pPr>
        <w:widowControl/>
        <w:jc w:val="left"/>
        <w:rPr>
          <w:b/>
          <w:bCs/>
          <w:color w:val="000000" w:themeColor="text1"/>
          <w:sz w:val="21"/>
          <w:szCs w:val="21"/>
        </w:rPr>
      </w:pPr>
    </w:p>
    <w:p w14:paraId="35405760" w14:textId="7AE1D85D" w:rsidR="00A811D2" w:rsidRDefault="00A811D2" w:rsidP="008B6DD9">
      <w:pPr>
        <w:widowControl/>
        <w:jc w:val="left"/>
        <w:rPr>
          <w:color w:val="000000" w:themeColor="text1"/>
          <w:sz w:val="21"/>
          <w:szCs w:val="21"/>
        </w:rPr>
      </w:pPr>
      <w:r>
        <w:rPr>
          <w:rFonts w:hint="eastAsia"/>
          <w:b/>
          <w:bCs/>
          <w:color w:val="000000" w:themeColor="text1"/>
          <w:sz w:val="21"/>
          <w:szCs w:val="21"/>
        </w:rPr>
        <w:t>文章题目</w:t>
      </w:r>
      <w:r>
        <w:rPr>
          <w:rFonts w:hint="eastAsia"/>
          <w:color w:val="000000" w:themeColor="text1"/>
          <w:sz w:val="21"/>
          <w:szCs w:val="21"/>
        </w:rPr>
        <w:t>：</w:t>
      </w:r>
      <w:r w:rsidR="008B6DD9" w:rsidRPr="008B6DD9">
        <w:rPr>
          <w:rFonts w:hint="eastAsia"/>
          <w:color w:val="000000" w:themeColor="text1"/>
          <w:sz w:val="21"/>
          <w:szCs w:val="21"/>
        </w:rPr>
        <w:t>竞争性国有企业混合所有制改革的关键要素与路径选择</w:t>
      </w:r>
    </w:p>
    <w:p w14:paraId="0064E02F" w14:textId="77777777" w:rsidR="00A811D2" w:rsidRDefault="00A811D2" w:rsidP="00A811D2">
      <w:pPr>
        <w:rPr>
          <w:rFonts w:ascii="宋体" w:hAnsi="宋体" w:cs="宋体"/>
          <w:color w:val="0000FF"/>
          <w:kern w:val="0"/>
          <w:szCs w:val="21"/>
        </w:rPr>
      </w:pPr>
    </w:p>
    <w:p w14:paraId="38F92A8A" w14:textId="6C819C9A" w:rsidR="00A811D2" w:rsidRDefault="002B7F7A" w:rsidP="00A811D2">
      <w:pPr>
        <w:widowControl/>
        <w:pBdr>
          <w:bottom w:val="single" w:sz="4" w:space="0" w:color="auto"/>
        </w:pBdr>
        <w:ind w:firstLineChars="200" w:firstLine="420"/>
        <w:jc w:val="left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受</w:t>
      </w:r>
      <w:r w:rsidR="00A811D2">
        <w:rPr>
          <w:rFonts w:hint="eastAsia"/>
          <w:color w:val="000000" w:themeColor="text1"/>
          <w:sz w:val="21"/>
          <w:szCs w:val="21"/>
        </w:rPr>
        <w:t>篇幅</w:t>
      </w:r>
      <w:r>
        <w:rPr>
          <w:rFonts w:hint="eastAsia"/>
          <w:color w:val="000000" w:themeColor="text1"/>
          <w:sz w:val="21"/>
          <w:szCs w:val="21"/>
        </w:rPr>
        <w:t>限制</w:t>
      </w:r>
      <w:r w:rsidR="00A811D2">
        <w:rPr>
          <w:rFonts w:hint="eastAsia"/>
          <w:color w:val="000000" w:themeColor="text1"/>
          <w:sz w:val="21"/>
          <w:szCs w:val="21"/>
        </w:rPr>
        <w:t>，</w:t>
      </w:r>
      <w:r>
        <w:rPr>
          <w:rFonts w:hint="eastAsia"/>
          <w:color w:val="000000" w:themeColor="text1"/>
          <w:sz w:val="21"/>
          <w:szCs w:val="21"/>
        </w:rPr>
        <w:t>正文未能呈现</w:t>
      </w:r>
      <w:r w:rsidR="008B6DD9">
        <w:rPr>
          <w:rFonts w:hint="eastAsia"/>
          <w:color w:val="000000" w:themeColor="text1"/>
          <w:sz w:val="21"/>
          <w:szCs w:val="21"/>
        </w:rPr>
        <w:t>各组态</w:t>
      </w:r>
      <w:r w:rsidR="00A811D2">
        <w:rPr>
          <w:rFonts w:hint="eastAsia"/>
          <w:color w:val="000000" w:themeColor="text1"/>
          <w:sz w:val="21"/>
          <w:szCs w:val="21"/>
        </w:rPr>
        <w:t>的</w:t>
      </w:r>
      <w:r w:rsidR="00A811D2">
        <w:rPr>
          <w:color w:val="000000" w:themeColor="text1"/>
          <w:sz w:val="21"/>
          <w:szCs w:val="21"/>
        </w:rPr>
        <w:t>解释案例</w:t>
      </w:r>
      <w:r w:rsidR="00A811D2">
        <w:rPr>
          <w:rFonts w:hint="eastAsia"/>
          <w:color w:val="000000" w:themeColor="text1"/>
          <w:sz w:val="21"/>
          <w:szCs w:val="21"/>
        </w:rPr>
        <w:t>图</w:t>
      </w:r>
      <w:r>
        <w:rPr>
          <w:rFonts w:hint="eastAsia"/>
          <w:color w:val="000000" w:themeColor="text1"/>
          <w:sz w:val="21"/>
          <w:szCs w:val="21"/>
        </w:rPr>
        <w:t>，</w:t>
      </w:r>
      <w:r w:rsidR="00A811D2">
        <w:rPr>
          <w:rFonts w:hint="eastAsia"/>
          <w:color w:val="000000" w:themeColor="text1"/>
          <w:sz w:val="21"/>
          <w:szCs w:val="21"/>
        </w:rPr>
        <w:t>相关内容在</w:t>
      </w:r>
      <w:r>
        <w:rPr>
          <w:rFonts w:hint="eastAsia"/>
          <w:color w:val="000000" w:themeColor="text1"/>
          <w:sz w:val="21"/>
          <w:szCs w:val="21"/>
        </w:rPr>
        <w:t>本部分</w:t>
      </w:r>
      <w:r w:rsidR="00A811D2">
        <w:rPr>
          <w:rFonts w:hint="eastAsia"/>
          <w:color w:val="000000" w:themeColor="text1"/>
          <w:sz w:val="21"/>
          <w:szCs w:val="21"/>
        </w:rPr>
        <w:t>补充</w:t>
      </w:r>
      <w:r>
        <w:rPr>
          <w:rFonts w:hint="eastAsia"/>
          <w:color w:val="000000" w:themeColor="text1"/>
          <w:sz w:val="21"/>
          <w:szCs w:val="21"/>
        </w:rPr>
        <w:t>说明</w:t>
      </w:r>
      <w:r w:rsidR="00A811D2">
        <w:rPr>
          <w:rFonts w:hint="eastAsia"/>
          <w:color w:val="000000" w:themeColor="text1"/>
          <w:sz w:val="21"/>
          <w:szCs w:val="21"/>
        </w:rPr>
        <w:t>。</w:t>
      </w:r>
    </w:p>
    <w:p w14:paraId="49E1C434" w14:textId="23313E94" w:rsidR="00A811D2" w:rsidRPr="001B3E2A" w:rsidRDefault="00CE76E4" w:rsidP="00CE76E4">
      <w:pPr>
        <w:ind w:firstLineChars="200" w:firstLine="480"/>
        <w:rPr>
          <w:rFonts w:cs="Times New Roman"/>
          <w:sz w:val="21"/>
          <w:szCs w:val="21"/>
        </w:rPr>
      </w:pPr>
      <w:r w:rsidRPr="001E5B31">
        <w:rPr>
          <w:rFonts w:cs="Times New Roman"/>
          <w:noProof/>
          <w:szCs w:val="21"/>
        </w:rPr>
        <w:drawing>
          <wp:anchor distT="0" distB="0" distL="114300" distR="114300" simplePos="0" relativeHeight="251675648" behindDoc="0" locked="0" layoutInCell="1" allowOverlap="1" wp14:anchorId="0058F909" wp14:editId="248BC5E6">
            <wp:simplePos x="0" y="0"/>
            <wp:positionH relativeFrom="margin">
              <wp:posOffset>2729230</wp:posOffset>
            </wp:positionH>
            <wp:positionV relativeFrom="paragraph">
              <wp:posOffset>864870</wp:posOffset>
            </wp:positionV>
            <wp:extent cx="2777490" cy="2479675"/>
            <wp:effectExtent l="0" t="0" r="3810" b="0"/>
            <wp:wrapTopAndBottom/>
            <wp:docPr id="286771228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1E337F5F-0BFE-8754-A5C1-AFEC5D9490F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06C5" w:rsidRPr="004B42A4">
        <w:rPr>
          <w:noProof/>
          <w:szCs w:val="21"/>
        </w:rPr>
        <w:drawing>
          <wp:anchor distT="0" distB="0" distL="114300" distR="114300" simplePos="0" relativeHeight="251659264" behindDoc="0" locked="0" layoutInCell="1" allowOverlap="1" wp14:anchorId="1DAE1816" wp14:editId="3B2B847A">
            <wp:simplePos x="0" y="0"/>
            <wp:positionH relativeFrom="margin">
              <wp:posOffset>-90863</wp:posOffset>
            </wp:positionH>
            <wp:positionV relativeFrom="paragraph">
              <wp:posOffset>920115</wp:posOffset>
            </wp:positionV>
            <wp:extent cx="2659380" cy="2548890"/>
            <wp:effectExtent l="0" t="0" r="7620" b="3810"/>
            <wp:wrapTopAndBottom/>
            <wp:docPr id="2121412778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E1021D88-C24E-AE89-49A5-80E745BF15F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11D2" w:rsidRPr="001B3E2A">
        <w:rPr>
          <w:rFonts w:cs="Times New Roman" w:hint="eastAsia"/>
          <w:color w:val="000000" w:themeColor="text1"/>
          <w:sz w:val="21"/>
          <w:szCs w:val="21"/>
        </w:rPr>
        <w:t>参考谭海波等（</w:t>
      </w:r>
      <w:r w:rsidR="00A811D2" w:rsidRPr="001B3E2A">
        <w:rPr>
          <w:rFonts w:cs="Times New Roman" w:hint="eastAsia"/>
          <w:color w:val="000000" w:themeColor="text1"/>
          <w:sz w:val="21"/>
          <w:szCs w:val="21"/>
        </w:rPr>
        <w:t>2019</w:t>
      </w:r>
      <w:r w:rsidR="00A811D2" w:rsidRPr="001B3E2A">
        <w:rPr>
          <w:rFonts w:cs="Times New Roman" w:hint="eastAsia"/>
          <w:color w:val="000000" w:themeColor="text1"/>
          <w:sz w:val="21"/>
          <w:szCs w:val="21"/>
        </w:rPr>
        <w:t>）</w:t>
      </w:r>
      <w:r w:rsidR="00A811D2" w:rsidRPr="001B3E2A">
        <w:rPr>
          <w:rFonts w:cs="Times New Roman" w:hint="eastAsia"/>
          <w:color w:val="000000" w:themeColor="text1"/>
          <w:sz w:val="21"/>
          <w:szCs w:val="21"/>
          <w:vertAlign w:val="superscript"/>
        </w:rPr>
        <w:fldChar w:fldCharType="begin"/>
      </w:r>
      <w:r w:rsidR="00A811D2" w:rsidRPr="001B3E2A">
        <w:rPr>
          <w:rFonts w:cs="Times New Roman" w:hint="eastAsia"/>
          <w:color w:val="000000" w:themeColor="text1"/>
          <w:sz w:val="21"/>
          <w:szCs w:val="21"/>
          <w:vertAlign w:val="superscript"/>
        </w:rPr>
        <w:instrText xml:space="preserve"> REF _Ref24167 \r \h </w:instrText>
      </w:r>
      <w:r w:rsidR="001B3E2A">
        <w:rPr>
          <w:rFonts w:cs="Times New Roman"/>
          <w:color w:val="000000" w:themeColor="text1"/>
          <w:sz w:val="21"/>
          <w:szCs w:val="21"/>
          <w:vertAlign w:val="superscript"/>
        </w:rPr>
        <w:instrText xml:space="preserve"> \* MERGEFORMAT </w:instrText>
      </w:r>
      <w:r w:rsidR="00A811D2" w:rsidRPr="001B3E2A">
        <w:rPr>
          <w:rFonts w:cs="Times New Roman" w:hint="eastAsia"/>
          <w:color w:val="000000" w:themeColor="text1"/>
          <w:sz w:val="21"/>
          <w:szCs w:val="21"/>
          <w:vertAlign w:val="superscript"/>
        </w:rPr>
      </w:r>
      <w:r w:rsidR="00A811D2" w:rsidRPr="001B3E2A">
        <w:rPr>
          <w:rFonts w:cs="Times New Roman" w:hint="eastAsia"/>
          <w:color w:val="000000" w:themeColor="text1"/>
          <w:sz w:val="21"/>
          <w:szCs w:val="21"/>
          <w:vertAlign w:val="superscript"/>
        </w:rPr>
        <w:fldChar w:fldCharType="separate"/>
      </w:r>
      <w:r w:rsidR="00A811D2" w:rsidRPr="001B3E2A">
        <w:rPr>
          <w:rFonts w:cs="Times New Roman" w:hint="eastAsia"/>
          <w:color w:val="000000" w:themeColor="text1"/>
          <w:sz w:val="21"/>
          <w:szCs w:val="21"/>
          <w:vertAlign w:val="superscript"/>
        </w:rPr>
        <w:t>[1]</w:t>
      </w:r>
      <w:r w:rsidR="00A811D2" w:rsidRPr="001B3E2A">
        <w:rPr>
          <w:rFonts w:cs="Times New Roman" w:hint="eastAsia"/>
          <w:color w:val="000000" w:themeColor="text1"/>
          <w:sz w:val="21"/>
          <w:szCs w:val="21"/>
          <w:vertAlign w:val="superscript"/>
        </w:rPr>
        <w:fldChar w:fldCharType="end"/>
      </w:r>
      <w:r w:rsidR="00A811D2" w:rsidRPr="001B3E2A">
        <w:rPr>
          <w:rFonts w:cs="Times New Roman" w:hint="eastAsia"/>
          <w:color w:val="000000" w:themeColor="text1"/>
          <w:sz w:val="21"/>
          <w:szCs w:val="21"/>
        </w:rPr>
        <w:t>的做法，</w:t>
      </w:r>
      <w:r w:rsidR="002B7F7A">
        <w:rPr>
          <w:rFonts w:cs="Times New Roman" w:hint="eastAsia"/>
          <w:color w:val="000000" w:themeColor="text1"/>
          <w:sz w:val="21"/>
          <w:szCs w:val="21"/>
        </w:rPr>
        <w:t>本文</w:t>
      </w:r>
      <w:r w:rsidR="00C14588">
        <w:rPr>
          <w:rFonts w:cs="Times New Roman" w:hint="eastAsia"/>
          <w:color w:val="000000" w:themeColor="text1"/>
          <w:sz w:val="21"/>
          <w:szCs w:val="21"/>
        </w:rPr>
        <w:t>绘制</w:t>
      </w:r>
      <w:r w:rsidR="002B7F7A">
        <w:rPr>
          <w:rFonts w:cs="Times New Roman" w:hint="eastAsia"/>
          <w:color w:val="000000" w:themeColor="text1"/>
          <w:sz w:val="21"/>
          <w:szCs w:val="21"/>
        </w:rPr>
        <w:t>了组态</w:t>
      </w:r>
      <w:r w:rsidR="0007000C">
        <w:rPr>
          <w:rFonts w:cs="Times New Roman" w:hint="eastAsia"/>
          <w:color w:val="000000" w:themeColor="text1"/>
          <w:sz w:val="21"/>
          <w:szCs w:val="21"/>
        </w:rPr>
        <w:t>—</w:t>
      </w:r>
      <w:r w:rsidR="002B7F7A">
        <w:rPr>
          <w:rFonts w:cs="Times New Roman" w:hint="eastAsia"/>
          <w:color w:val="000000" w:themeColor="text1"/>
          <w:sz w:val="21"/>
          <w:szCs w:val="21"/>
        </w:rPr>
        <w:t>案例对应关系图以直观呈现五</w:t>
      </w:r>
      <w:r w:rsidR="00180571">
        <w:rPr>
          <w:rFonts w:cs="Times New Roman" w:hint="eastAsia"/>
          <w:color w:val="000000" w:themeColor="text1"/>
          <w:sz w:val="21"/>
          <w:szCs w:val="21"/>
        </w:rPr>
        <w:t>种</w:t>
      </w:r>
      <w:r w:rsidR="002B7F7A">
        <w:rPr>
          <w:rFonts w:cs="Times New Roman" w:hint="eastAsia"/>
          <w:color w:val="000000" w:themeColor="text1"/>
          <w:sz w:val="21"/>
          <w:szCs w:val="21"/>
        </w:rPr>
        <w:t>组态与解释案例间的关联。图中横轴表示</w:t>
      </w:r>
      <w:r w:rsidR="00A811D2" w:rsidRPr="001B3E2A">
        <w:rPr>
          <w:rFonts w:cs="Times New Roman" w:hint="eastAsia"/>
          <w:color w:val="000000" w:themeColor="text1"/>
          <w:sz w:val="21"/>
          <w:szCs w:val="21"/>
        </w:rPr>
        <w:t>各</w:t>
      </w:r>
      <w:r w:rsidR="00B63930" w:rsidRPr="001B3E2A">
        <w:rPr>
          <w:rFonts w:cs="Times New Roman" w:hint="eastAsia"/>
          <w:color w:val="000000" w:themeColor="text1"/>
          <w:sz w:val="21"/>
          <w:szCs w:val="21"/>
        </w:rPr>
        <w:t>组态</w:t>
      </w:r>
      <w:r w:rsidR="00A811D2" w:rsidRPr="001B3E2A">
        <w:rPr>
          <w:rFonts w:cs="Times New Roman" w:hint="eastAsia"/>
          <w:color w:val="000000" w:themeColor="text1"/>
          <w:sz w:val="21"/>
          <w:szCs w:val="21"/>
        </w:rPr>
        <w:t>的隶属度</w:t>
      </w:r>
      <w:r w:rsidR="002B7F7A">
        <w:rPr>
          <w:rFonts w:cs="Times New Roman" w:hint="eastAsia"/>
          <w:color w:val="000000" w:themeColor="text1"/>
          <w:sz w:val="21"/>
          <w:szCs w:val="21"/>
        </w:rPr>
        <w:t>，纵轴表示</w:t>
      </w:r>
      <w:r w:rsidR="00B63930" w:rsidRPr="001B3E2A">
        <w:rPr>
          <w:rFonts w:cs="Times New Roman" w:hint="eastAsia"/>
          <w:color w:val="000000" w:themeColor="text1"/>
          <w:sz w:val="21"/>
          <w:szCs w:val="21"/>
        </w:rPr>
        <w:t>高混改绩效</w:t>
      </w:r>
      <w:r w:rsidR="00A811D2" w:rsidRPr="001B3E2A">
        <w:rPr>
          <w:rFonts w:cs="Times New Roman" w:hint="eastAsia"/>
          <w:color w:val="000000" w:themeColor="text1"/>
          <w:sz w:val="21"/>
          <w:szCs w:val="21"/>
        </w:rPr>
        <w:t>的隶属度，</w:t>
      </w:r>
      <w:r w:rsidR="002B7F7A">
        <w:rPr>
          <w:rFonts w:cs="Times New Roman" w:hint="eastAsia"/>
          <w:color w:val="000000" w:themeColor="text1"/>
          <w:sz w:val="21"/>
          <w:szCs w:val="21"/>
        </w:rPr>
        <w:t>并</w:t>
      </w:r>
      <w:r w:rsidR="00A811D2" w:rsidRPr="001B3E2A">
        <w:rPr>
          <w:rFonts w:cs="Times New Roman" w:hint="eastAsia"/>
          <w:color w:val="000000" w:themeColor="text1"/>
          <w:sz w:val="21"/>
          <w:szCs w:val="21"/>
        </w:rPr>
        <w:t>以</w:t>
      </w:r>
      <w:r w:rsidR="002B7F7A">
        <w:rPr>
          <w:rFonts w:cs="Times New Roman" w:hint="eastAsia"/>
          <w:color w:val="000000" w:themeColor="text1"/>
          <w:sz w:val="21"/>
          <w:szCs w:val="21"/>
        </w:rPr>
        <w:t>企业</w:t>
      </w:r>
      <w:r w:rsidR="001B3E2A">
        <w:rPr>
          <w:rFonts w:cs="Times New Roman" w:hint="eastAsia"/>
          <w:color w:val="000000" w:themeColor="text1"/>
          <w:sz w:val="21"/>
          <w:szCs w:val="21"/>
        </w:rPr>
        <w:t>名称</w:t>
      </w:r>
      <w:r w:rsidR="002B7F7A">
        <w:rPr>
          <w:rFonts w:cs="Times New Roman" w:hint="eastAsia"/>
          <w:color w:val="000000" w:themeColor="text1"/>
          <w:sz w:val="21"/>
          <w:szCs w:val="21"/>
        </w:rPr>
        <w:t>标注各</w:t>
      </w:r>
      <w:r w:rsidR="00A811D2" w:rsidRPr="001B3E2A">
        <w:rPr>
          <w:rFonts w:cs="Times New Roman" w:hint="eastAsia"/>
          <w:color w:val="000000" w:themeColor="text1"/>
          <w:sz w:val="21"/>
          <w:szCs w:val="21"/>
        </w:rPr>
        <w:t>案例标签</w:t>
      </w:r>
      <w:r w:rsidR="00A811D2" w:rsidRPr="001B3E2A">
        <w:rPr>
          <w:rFonts w:cs="Times New Roman" w:hint="eastAsia"/>
          <w:sz w:val="21"/>
          <w:szCs w:val="21"/>
        </w:rPr>
        <w:t>。高</w:t>
      </w:r>
      <w:r w:rsidR="00DD3A69" w:rsidRPr="001B3E2A">
        <w:rPr>
          <w:rFonts w:cs="Times New Roman" w:hint="eastAsia"/>
          <w:sz w:val="21"/>
          <w:szCs w:val="21"/>
        </w:rPr>
        <w:t>混改</w:t>
      </w:r>
      <w:r w:rsidR="007148D6">
        <w:rPr>
          <w:rFonts w:cs="Times New Roman" w:hint="eastAsia"/>
          <w:sz w:val="21"/>
          <w:szCs w:val="21"/>
        </w:rPr>
        <w:t>绩效</w:t>
      </w:r>
      <w:r w:rsidR="00A811D2" w:rsidRPr="001B3E2A">
        <w:rPr>
          <w:rFonts w:cs="Times New Roman" w:hint="eastAsia"/>
          <w:sz w:val="21"/>
          <w:szCs w:val="21"/>
        </w:rPr>
        <w:t>的</w:t>
      </w:r>
      <w:r w:rsidR="001B3E2A">
        <w:rPr>
          <w:rFonts w:cs="Times New Roman" w:hint="eastAsia"/>
          <w:sz w:val="21"/>
          <w:szCs w:val="21"/>
        </w:rPr>
        <w:t>五</w:t>
      </w:r>
      <w:r w:rsidR="00DD3A69" w:rsidRPr="001B3E2A">
        <w:rPr>
          <w:rFonts w:cs="Times New Roman" w:hint="eastAsia"/>
          <w:sz w:val="21"/>
          <w:szCs w:val="21"/>
        </w:rPr>
        <w:t>种</w:t>
      </w:r>
      <w:r w:rsidR="00A811D2" w:rsidRPr="001B3E2A">
        <w:rPr>
          <w:rFonts w:cs="Times New Roman" w:hint="eastAsia"/>
          <w:sz w:val="21"/>
          <w:szCs w:val="21"/>
        </w:rPr>
        <w:t>组态所对应的解释案例分别如附图</w:t>
      </w:r>
      <w:r w:rsidR="00A811D2" w:rsidRPr="001B3E2A">
        <w:rPr>
          <w:rFonts w:cs="Times New Roman" w:hint="eastAsia"/>
          <w:sz w:val="21"/>
          <w:szCs w:val="21"/>
        </w:rPr>
        <w:t>1</w:t>
      </w:r>
      <w:r w:rsidR="002B7F7A">
        <w:rPr>
          <w:rFonts w:cs="Times New Roman" w:hint="eastAsia"/>
          <w:sz w:val="21"/>
          <w:szCs w:val="21"/>
        </w:rPr>
        <w:t>至</w:t>
      </w:r>
      <w:r w:rsidR="00A811D2" w:rsidRPr="001B3E2A">
        <w:rPr>
          <w:rFonts w:cs="Times New Roman" w:hint="eastAsia"/>
          <w:sz w:val="21"/>
          <w:szCs w:val="21"/>
        </w:rPr>
        <w:t>附图</w:t>
      </w:r>
      <w:r w:rsidR="001B3E2A">
        <w:rPr>
          <w:rFonts w:cs="Times New Roman"/>
          <w:sz w:val="21"/>
          <w:szCs w:val="21"/>
        </w:rPr>
        <w:t>5</w:t>
      </w:r>
      <w:r w:rsidR="00A811D2" w:rsidRPr="001B3E2A">
        <w:rPr>
          <w:rFonts w:cs="Times New Roman" w:hint="eastAsia"/>
          <w:sz w:val="21"/>
          <w:szCs w:val="21"/>
        </w:rPr>
        <w:t>所示。</w:t>
      </w:r>
    </w:p>
    <w:p w14:paraId="2061130F" w14:textId="5D204633" w:rsidR="009A06C5" w:rsidRDefault="00557E04" w:rsidP="009A06C5">
      <w:pPr>
        <w:ind w:firstLineChars="700" w:firstLine="1265"/>
        <w:rPr>
          <w:rFonts w:eastAsiaTheme="minorEastAsia" w:cs="Times New Roman"/>
          <w:sz w:val="21"/>
          <w:szCs w:val="21"/>
        </w:rPr>
      </w:pPr>
      <w:r>
        <w:rPr>
          <w:rFonts w:cs="Times New Roman" w:hint="eastAsia"/>
          <w:b/>
          <w:bCs/>
          <w:sz w:val="18"/>
          <w:szCs w:val="18"/>
        </w:rPr>
        <w:t>附图</w:t>
      </w:r>
      <w:r>
        <w:rPr>
          <w:rFonts w:cs="Times New Roman" w:hint="eastAsia"/>
          <w:b/>
          <w:bCs/>
          <w:sz w:val="18"/>
          <w:szCs w:val="18"/>
        </w:rPr>
        <w:fldChar w:fldCharType="begin"/>
      </w:r>
      <w:r>
        <w:rPr>
          <w:rFonts w:cs="Times New Roman" w:hint="eastAsia"/>
          <w:b/>
          <w:bCs/>
          <w:sz w:val="18"/>
          <w:szCs w:val="18"/>
        </w:rPr>
        <w:instrText xml:space="preserve"> SEQ </w:instrText>
      </w:r>
      <w:r>
        <w:rPr>
          <w:rFonts w:cs="Times New Roman" w:hint="eastAsia"/>
          <w:b/>
          <w:bCs/>
          <w:sz w:val="18"/>
          <w:szCs w:val="18"/>
        </w:rPr>
        <w:instrText>图</w:instrText>
      </w:r>
      <w:r>
        <w:rPr>
          <w:rFonts w:cs="Times New Roman" w:hint="eastAsia"/>
          <w:b/>
          <w:bCs/>
          <w:sz w:val="18"/>
          <w:szCs w:val="18"/>
        </w:rPr>
        <w:instrText xml:space="preserve"> \* ARABIC </w:instrText>
      </w:r>
      <w:r>
        <w:rPr>
          <w:rFonts w:cs="Times New Roman" w:hint="eastAsia"/>
          <w:b/>
          <w:bCs/>
          <w:sz w:val="18"/>
          <w:szCs w:val="18"/>
        </w:rPr>
        <w:fldChar w:fldCharType="separate"/>
      </w:r>
      <w:r>
        <w:rPr>
          <w:rFonts w:cs="Times New Roman" w:hint="eastAsia"/>
          <w:b/>
          <w:bCs/>
          <w:sz w:val="18"/>
          <w:szCs w:val="18"/>
        </w:rPr>
        <w:t>1</w:t>
      </w:r>
      <w:r>
        <w:rPr>
          <w:rFonts w:cs="Times New Roman" w:hint="eastAsia"/>
          <w:b/>
          <w:bCs/>
          <w:sz w:val="18"/>
          <w:szCs w:val="18"/>
        </w:rPr>
        <w:fldChar w:fldCharType="end"/>
      </w:r>
      <w:r>
        <w:rPr>
          <w:rFonts w:cs="Times New Roman" w:hint="eastAsia"/>
          <w:b/>
          <w:bCs/>
          <w:sz w:val="18"/>
          <w:szCs w:val="18"/>
        </w:rPr>
        <w:t xml:space="preserve"> </w:t>
      </w:r>
      <w:r>
        <w:rPr>
          <w:rFonts w:cs="Times New Roman" w:hint="eastAsia"/>
          <w:b/>
          <w:bCs/>
          <w:sz w:val="18"/>
          <w:szCs w:val="18"/>
        </w:rPr>
        <w:t>组态</w:t>
      </w:r>
      <w:r>
        <w:rPr>
          <w:rFonts w:cs="Times New Roman" w:hint="eastAsia"/>
          <w:b/>
          <w:bCs/>
          <w:sz w:val="18"/>
          <w:szCs w:val="18"/>
        </w:rPr>
        <w:t>1</w:t>
      </w:r>
      <w:r>
        <w:rPr>
          <w:rFonts w:cs="Times New Roman" w:hint="eastAsia"/>
          <w:b/>
          <w:bCs/>
          <w:sz w:val="18"/>
          <w:szCs w:val="18"/>
        </w:rPr>
        <w:t>的解释案例</w:t>
      </w:r>
      <w:r w:rsidR="009A06C5">
        <w:rPr>
          <w:rFonts w:cs="Times New Roman" w:hint="eastAsia"/>
          <w:b/>
          <w:bCs/>
          <w:sz w:val="18"/>
          <w:szCs w:val="18"/>
        </w:rPr>
        <w:t xml:space="preserve"> </w:t>
      </w:r>
      <w:r w:rsidR="009A06C5">
        <w:rPr>
          <w:rFonts w:cs="Times New Roman"/>
          <w:b/>
          <w:bCs/>
          <w:sz w:val="18"/>
          <w:szCs w:val="18"/>
        </w:rPr>
        <w:t xml:space="preserve">                          </w:t>
      </w:r>
      <w:r w:rsidR="00241C19">
        <w:rPr>
          <w:rFonts w:cs="Times New Roman"/>
          <w:b/>
          <w:bCs/>
          <w:sz w:val="18"/>
          <w:szCs w:val="18"/>
        </w:rPr>
        <w:t xml:space="preserve"> </w:t>
      </w:r>
      <w:r w:rsidR="009A06C5">
        <w:rPr>
          <w:rFonts w:cs="Times New Roman" w:hint="eastAsia"/>
          <w:b/>
          <w:bCs/>
          <w:sz w:val="18"/>
          <w:szCs w:val="18"/>
        </w:rPr>
        <w:t>附图</w:t>
      </w:r>
      <w:r w:rsidR="009A06C5">
        <w:rPr>
          <w:rFonts w:cs="Times New Roman"/>
          <w:b/>
          <w:bCs/>
          <w:sz w:val="18"/>
          <w:szCs w:val="18"/>
        </w:rPr>
        <w:t>2</w:t>
      </w:r>
      <w:r w:rsidR="009A06C5">
        <w:rPr>
          <w:rFonts w:cs="Times New Roman" w:hint="eastAsia"/>
          <w:b/>
          <w:bCs/>
          <w:sz w:val="18"/>
          <w:szCs w:val="18"/>
        </w:rPr>
        <w:t xml:space="preserve"> </w:t>
      </w:r>
      <w:r w:rsidR="009A06C5">
        <w:rPr>
          <w:rFonts w:cs="Times New Roman" w:hint="eastAsia"/>
          <w:b/>
          <w:bCs/>
          <w:sz w:val="18"/>
          <w:szCs w:val="18"/>
        </w:rPr>
        <w:t>组态</w:t>
      </w:r>
      <w:r w:rsidR="009A06C5">
        <w:rPr>
          <w:rFonts w:cs="Times New Roman"/>
          <w:b/>
          <w:bCs/>
          <w:sz w:val="18"/>
          <w:szCs w:val="18"/>
        </w:rPr>
        <w:t>2</w:t>
      </w:r>
      <w:r w:rsidR="009A06C5">
        <w:rPr>
          <w:rFonts w:cs="Times New Roman" w:hint="eastAsia"/>
          <w:b/>
          <w:bCs/>
          <w:sz w:val="18"/>
          <w:szCs w:val="18"/>
        </w:rPr>
        <w:t>的解释案例</w:t>
      </w:r>
    </w:p>
    <w:p w14:paraId="1E449E78" w14:textId="3ACBCE56" w:rsidR="005F4DB7" w:rsidRPr="009A06C5" w:rsidRDefault="00996520" w:rsidP="009A06C5">
      <w:pPr>
        <w:ind w:firstLineChars="700" w:firstLine="1680"/>
        <w:rPr>
          <w:rFonts w:eastAsiaTheme="minorEastAsia" w:cs="Times New Roman"/>
          <w:sz w:val="21"/>
          <w:szCs w:val="21"/>
        </w:rPr>
      </w:pPr>
      <w:r w:rsidRPr="001C6F8A">
        <w:rPr>
          <w:noProof/>
        </w:rPr>
        <w:drawing>
          <wp:anchor distT="0" distB="0" distL="114300" distR="114300" simplePos="0" relativeHeight="251679744" behindDoc="0" locked="0" layoutInCell="1" allowOverlap="1" wp14:anchorId="03F1C4F9" wp14:editId="477234AB">
            <wp:simplePos x="0" y="0"/>
            <wp:positionH relativeFrom="margin">
              <wp:posOffset>2842700</wp:posOffset>
            </wp:positionH>
            <wp:positionV relativeFrom="page">
              <wp:posOffset>5999968</wp:posOffset>
            </wp:positionV>
            <wp:extent cx="2749550" cy="2424430"/>
            <wp:effectExtent l="0" t="0" r="0" b="0"/>
            <wp:wrapTopAndBottom/>
            <wp:docPr id="1449256723" name="图表 1449256723">
              <a:extLst xmlns:a="http://schemas.openxmlformats.org/drawingml/2006/main">
                <a:ext uri="{FF2B5EF4-FFF2-40B4-BE49-F238E27FC236}">
                  <a16:creationId xmlns:a16="http://schemas.microsoft.com/office/drawing/2014/main" id="{00451C8B-0D51-7D09-0C12-85064228191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5285" w:rsidRPr="001E5B31">
        <w:rPr>
          <w:rFonts w:cs="Times New Roman"/>
          <w:b/>
          <w:bCs/>
          <w:noProof/>
          <w:szCs w:val="21"/>
        </w:rPr>
        <w:drawing>
          <wp:anchor distT="0" distB="0" distL="114300" distR="114300" simplePos="0" relativeHeight="251677696" behindDoc="0" locked="0" layoutInCell="1" allowOverlap="1" wp14:anchorId="1D16EAEE" wp14:editId="5AF4B73B">
            <wp:simplePos x="0" y="0"/>
            <wp:positionH relativeFrom="column">
              <wp:posOffset>-116321</wp:posOffset>
            </wp:positionH>
            <wp:positionV relativeFrom="paragraph">
              <wp:posOffset>248458</wp:posOffset>
            </wp:positionV>
            <wp:extent cx="2770505" cy="2431415"/>
            <wp:effectExtent l="0" t="0" r="0" b="6985"/>
            <wp:wrapTopAndBottom/>
            <wp:docPr id="1041310467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13226FB7-868B-C17A-666F-D90B47A8599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36791B" w14:textId="77777777" w:rsidR="00241C19" w:rsidRDefault="00241C19" w:rsidP="00241C19">
      <w:pPr>
        <w:ind w:firstLineChars="700" w:firstLine="1265"/>
        <w:rPr>
          <w:rFonts w:cs="Times New Roman"/>
          <w:b/>
          <w:bCs/>
          <w:sz w:val="18"/>
          <w:szCs w:val="18"/>
        </w:rPr>
      </w:pPr>
    </w:p>
    <w:p w14:paraId="07E1F42E" w14:textId="53B33586" w:rsidR="005F4DB7" w:rsidRDefault="00CE76E4" w:rsidP="00241C19">
      <w:pPr>
        <w:ind w:firstLineChars="700" w:firstLine="1265"/>
        <w:rPr>
          <w:rFonts w:eastAsiaTheme="minorEastAsia" w:cs="Times New Roman"/>
          <w:sz w:val="21"/>
          <w:szCs w:val="21"/>
        </w:rPr>
      </w:pPr>
      <w:r>
        <w:rPr>
          <w:rFonts w:cs="Times New Roman" w:hint="eastAsia"/>
          <w:b/>
          <w:bCs/>
          <w:sz w:val="18"/>
          <w:szCs w:val="18"/>
        </w:rPr>
        <w:t>附图</w:t>
      </w:r>
      <w:r>
        <w:rPr>
          <w:rFonts w:cs="Times New Roman"/>
          <w:b/>
          <w:bCs/>
          <w:sz w:val="18"/>
          <w:szCs w:val="18"/>
        </w:rPr>
        <w:t>3</w:t>
      </w:r>
      <w:r>
        <w:rPr>
          <w:rFonts w:cs="Times New Roman" w:hint="eastAsia"/>
          <w:b/>
          <w:bCs/>
          <w:sz w:val="18"/>
          <w:szCs w:val="18"/>
        </w:rPr>
        <w:t xml:space="preserve"> </w:t>
      </w:r>
      <w:r>
        <w:rPr>
          <w:rFonts w:cs="Times New Roman" w:hint="eastAsia"/>
          <w:b/>
          <w:bCs/>
          <w:sz w:val="18"/>
          <w:szCs w:val="18"/>
        </w:rPr>
        <w:t>组态</w:t>
      </w:r>
      <w:r>
        <w:rPr>
          <w:rFonts w:cs="Times New Roman"/>
          <w:b/>
          <w:bCs/>
          <w:sz w:val="18"/>
          <w:szCs w:val="18"/>
        </w:rPr>
        <w:t>3</w:t>
      </w:r>
      <w:r>
        <w:rPr>
          <w:rFonts w:cs="Times New Roman" w:hint="eastAsia"/>
          <w:b/>
          <w:bCs/>
          <w:sz w:val="18"/>
          <w:szCs w:val="18"/>
        </w:rPr>
        <w:t>的解释案例</w:t>
      </w:r>
      <w:r w:rsidR="00DF5285">
        <w:rPr>
          <w:rFonts w:cs="Times New Roman" w:hint="eastAsia"/>
          <w:b/>
          <w:bCs/>
          <w:sz w:val="18"/>
          <w:szCs w:val="18"/>
        </w:rPr>
        <w:t xml:space="preserve"> </w:t>
      </w:r>
      <w:r w:rsidR="00DF5285">
        <w:rPr>
          <w:rFonts w:cs="Times New Roman"/>
          <w:b/>
          <w:bCs/>
          <w:sz w:val="18"/>
          <w:szCs w:val="18"/>
        </w:rPr>
        <w:t xml:space="preserve">   </w:t>
      </w:r>
      <w:r w:rsidR="00241C19">
        <w:rPr>
          <w:rFonts w:cs="Times New Roman"/>
          <w:b/>
          <w:bCs/>
          <w:sz w:val="18"/>
          <w:szCs w:val="18"/>
        </w:rPr>
        <w:t xml:space="preserve">                       </w:t>
      </w:r>
      <w:r w:rsidR="00241C19">
        <w:rPr>
          <w:rFonts w:cs="Times New Roman" w:hint="eastAsia"/>
          <w:b/>
          <w:bCs/>
          <w:sz w:val="18"/>
          <w:szCs w:val="18"/>
        </w:rPr>
        <w:t>附图</w:t>
      </w:r>
      <w:r w:rsidR="00241C19">
        <w:rPr>
          <w:rFonts w:cs="Times New Roman"/>
          <w:b/>
          <w:bCs/>
          <w:sz w:val="18"/>
          <w:szCs w:val="18"/>
        </w:rPr>
        <w:t>4</w:t>
      </w:r>
      <w:r w:rsidR="00241C19">
        <w:rPr>
          <w:rFonts w:cs="Times New Roman" w:hint="eastAsia"/>
          <w:b/>
          <w:bCs/>
          <w:sz w:val="18"/>
          <w:szCs w:val="18"/>
        </w:rPr>
        <w:t xml:space="preserve"> </w:t>
      </w:r>
      <w:r w:rsidR="00241C19">
        <w:rPr>
          <w:rFonts w:cs="Times New Roman" w:hint="eastAsia"/>
          <w:b/>
          <w:bCs/>
          <w:sz w:val="18"/>
          <w:szCs w:val="18"/>
        </w:rPr>
        <w:t>组态</w:t>
      </w:r>
      <w:r w:rsidR="00241C19">
        <w:rPr>
          <w:rFonts w:cs="Times New Roman"/>
          <w:b/>
          <w:bCs/>
          <w:sz w:val="18"/>
          <w:szCs w:val="18"/>
        </w:rPr>
        <w:t>4</w:t>
      </w:r>
      <w:r w:rsidR="00241C19">
        <w:rPr>
          <w:rFonts w:cs="Times New Roman" w:hint="eastAsia"/>
          <w:b/>
          <w:bCs/>
          <w:sz w:val="18"/>
          <w:szCs w:val="18"/>
        </w:rPr>
        <w:t>的解释案例</w:t>
      </w:r>
      <w:r w:rsidR="00241C19">
        <w:rPr>
          <w:rFonts w:cs="Times New Roman" w:hint="eastAsia"/>
          <w:b/>
          <w:bCs/>
          <w:sz w:val="18"/>
          <w:szCs w:val="18"/>
        </w:rPr>
        <w:t xml:space="preserve"> </w:t>
      </w:r>
      <w:r w:rsidR="00241C19">
        <w:rPr>
          <w:rFonts w:cs="Times New Roman"/>
          <w:b/>
          <w:bCs/>
          <w:sz w:val="18"/>
          <w:szCs w:val="18"/>
        </w:rPr>
        <w:t xml:space="preserve"> </w:t>
      </w:r>
    </w:p>
    <w:p w14:paraId="6A28EE42" w14:textId="2C405363" w:rsidR="005F4DB7" w:rsidRDefault="005F4DB7" w:rsidP="00A811D2">
      <w:pPr>
        <w:ind w:firstLineChars="200" w:firstLine="420"/>
        <w:rPr>
          <w:rFonts w:eastAsiaTheme="minorEastAsia" w:cs="Times New Roman"/>
          <w:sz w:val="21"/>
          <w:szCs w:val="21"/>
        </w:rPr>
      </w:pPr>
    </w:p>
    <w:p w14:paraId="7A60930A" w14:textId="727DC1BA" w:rsidR="005F4DB7" w:rsidRPr="00241C19" w:rsidRDefault="00CE76E4" w:rsidP="00A811D2">
      <w:pPr>
        <w:ind w:firstLineChars="200" w:firstLine="480"/>
        <w:rPr>
          <w:rFonts w:eastAsiaTheme="minorEastAsia" w:cs="Times New Roman"/>
          <w:sz w:val="21"/>
          <w:szCs w:val="21"/>
        </w:rPr>
      </w:pPr>
      <w:r w:rsidRPr="001C6F8A">
        <w:rPr>
          <w:noProof/>
        </w:rPr>
        <w:lastRenderedPageBreak/>
        <w:drawing>
          <wp:anchor distT="0" distB="0" distL="114300" distR="114300" simplePos="0" relativeHeight="251681792" behindDoc="0" locked="0" layoutInCell="1" allowOverlap="1" wp14:anchorId="5D7DE58B" wp14:editId="5C122212">
            <wp:simplePos x="0" y="0"/>
            <wp:positionH relativeFrom="column">
              <wp:posOffset>0</wp:posOffset>
            </wp:positionH>
            <wp:positionV relativeFrom="paragraph">
              <wp:posOffset>200660</wp:posOffset>
            </wp:positionV>
            <wp:extent cx="2763520" cy="2451735"/>
            <wp:effectExtent l="0" t="0" r="0" b="5715"/>
            <wp:wrapTopAndBottom/>
            <wp:docPr id="1521091877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1426A2FD-DDFB-9B97-2297-A07307C8D62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A53BFB" w14:textId="77777777" w:rsidR="00FB2A5C" w:rsidRDefault="00FB2A5C" w:rsidP="00CE76E4">
      <w:pPr>
        <w:widowControl/>
        <w:ind w:firstLineChars="800" w:firstLine="1446"/>
        <w:jc w:val="left"/>
        <w:rPr>
          <w:rFonts w:cs="Times New Roman"/>
          <w:b/>
          <w:bCs/>
          <w:sz w:val="18"/>
          <w:szCs w:val="18"/>
        </w:rPr>
      </w:pPr>
    </w:p>
    <w:p w14:paraId="55033D39" w14:textId="40155D33" w:rsidR="00CE76E4" w:rsidRDefault="00CE76E4" w:rsidP="00CE76E4">
      <w:pPr>
        <w:widowControl/>
        <w:ind w:firstLineChars="800" w:firstLine="1446"/>
        <w:jc w:val="left"/>
        <w:rPr>
          <w:b/>
          <w:bCs/>
          <w:color w:val="000000" w:themeColor="text1"/>
          <w:sz w:val="21"/>
          <w:szCs w:val="21"/>
        </w:rPr>
      </w:pPr>
      <w:r>
        <w:rPr>
          <w:rFonts w:cs="Times New Roman" w:hint="eastAsia"/>
          <w:b/>
          <w:bCs/>
          <w:sz w:val="18"/>
          <w:szCs w:val="18"/>
        </w:rPr>
        <w:t>附图</w:t>
      </w:r>
      <w:r>
        <w:rPr>
          <w:rFonts w:cs="Times New Roman"/>
          <w:b/>
          <w:bCs/>
          <w:sz w:val="18"/>
          <w:szCs w:val="18"/>
        </w:rPr>
        <w:t>5</w:t>
      </w:r>
      <w:r>
        <w:rPr>
          <w:rFonts w:cs="Times New Roman" w:hint="eastAsia"/>
          <w:b/>
          <w:bCs/>
          <w:sz w:val="18"/>
          <w:szCs w:val="18"/>
        </w:rPr>
        <w:t xml:space="preserve"> </w:t>
      </w:r>
      <w:r>
        <w:rPr>
          <w:rFonts w:cs="Times New Roman" w:hint="eastAsia"/>
          <w:b/>
          <w:bCs/>
          <w:sz w:val="18"/>
          <w:szCs w:val="18"/>
        </w:rPr>
        <w:t>组态</w:t>
      </w:r>
      <w:r>
        <w:rPr>
          <w:rFonts w:cs="Times New Roman"/>
          <w:b/>
          <w:bCs/>
          <w:sz w:val="18"/>
          <w:szCs w:val="18"/>
        </w:rPr>
        <w:t>5</w:t>
      </w:r>
      <w:r>
        <w:rPr>
          <w:rFonts w:cs="Times New Roman" w:hint="eastAsia"/>
          <w:b/>
          <w:bCs/>
          <w:sz w:val="18"/>
          <w:szCs w:val="18"/>
        </w:rPr>
        <w:t>的解释案例</w:t>
      </w:r>
    </w:p>
    <w:p w14:paraId="769D1C4B" w14:textId="77777777" w:rsidR="00FB2A5C" w:rsidRDefault="00FB2A5C" w:rsidP="00A811D2">
      <w:pPr>
        <w:widowControl/>
        <w:jc w:val="left"/>
        <w:rPr>
          <w:b/>
          <w:bCs/>
          <w:color w:val="000000" w:themeColor="text1"/>
          <w:sz w:val="21"/>
          <w:szCs w:val="21"/>
        </w:rPr>
      </w:pPr>
    </w:p>
    <w:p w14:paraId="2974CFED" w14:textId="73FAC67A" w:rsidR="00A811D2" w:rsidRPr="002E0FA2" w:rsidRDefault="00A811D2" w:rsidP="00A811D2">
      <w:pPr>
        <w:widowControl/>
        <w:jc w:val="left"/>
        <w:rPr>
          <w:b/>
          <w:bCs/>
          <w:color w:val="000000" w:themeColor="text1"/>
          <w:sz w:val="21"/>
          <w:szCs w:val="21"/>
        </w:rPr>
      </w:pPr>
      <w:r w:rsidRPr="002E0FA2">
        <w:rPr>
          <w:rFonts w:hint="eastAsia"/>
          <w:b/>
          <w:bCs/>
          <w:color w:val="000000" w:themeColor="text1"/>
          <w:sz w:val="21"/>
          <w:szCs w:val="21"/>
        </w:rPr>
        <w:t>参考文献</w:t>
      </w:r>
    </w:p>
    <w:p w14:paraId="3E3032BF" w14:textId="069F998E" w:rsidR="00A811D2" w:rsidRPr="002E0FA2" w:rsidRDefault="002E0FA2" w:rsidP="002E0FA2">
      <w:pPr>
        <w:pStyle w:val="a3"/>
        <w:ind w:firstLineChars="200" w:firstLine="420"/>
        <w:jc w:val="both"/>
        <w:rPr>
          <w:rFonts w:cs="Times New Roman"/>
          <w:color w:val="000000" w:themeColor="text1"/>
          <w:sz w:val="21"/>
          <w:szCs w:val="21"/>
        </w:rPr>
      </w:pPr>
      <w:bookmarkStart w:id="1" w:name="_Ref24167"/>
      <w:r>
        <w:rPr>
          <w:rFonts w:cs="Times New Roman"/>
          <w:color w:val="000000" w:themeColor="text1"/>
          <w:sz w:val="21"/>
          <w:szCs w:val="21"/>
        </w:rPr>
        <w:t>[1]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谭海波</w:t>
      </w:r>
      <w:r w:rsidR="00A811D2" w:rsidRPr="002E0FA2">
        <w:rPr>
          <w:rFonts w:cs="Times New Roman" w:hint="eastAsia"/>
          <w:color w:val="000000" w:themeColor="text1"/>
          <w:sz w:val="21"/>
          <w:szCs w:val="21"/>
        </w:rPr>
        <w:t>,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范梓腾</w:t>
      </w:r>
      <w:r w:rsidR="00A811D2" w:rsidRPr="002E0FA2">
        <w:rPr>
          <w:rFonts w:cs="Times New Roman" w:hint="eastAsia"/>
          <w:color w:val="000000" w:themeColor="text1"/>
          <w:sz w:val="21"/>
          <w:szCs w:val="21"/>
        </w:rPr>
        <w:t>,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杜运周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.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技术管理能力、注意力分配与地方政府网站建设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——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一项基于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TOE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框架的组态分析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[J].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北京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: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管理世界</w:t>
      </w:r>
      <w:r w:rsidR="00A811D2" w:rsidRPr="002E0FA2">
        <w:rPr>
          <w:rFonts w:cs="Times New Roman" w:hint="eastAsia"/>
          <w:color w:val="000000" w:themeColor="text1"/>
          <w:sz w:val="21"/>
          <w:szCs w:val="21"/>
        </w:rPr>
        <w:t>,2019,</w:t>
      </w:r>
      <w:r w:rsidR="00A811D2" w:rsidRPr="002E0FA2">
        <w:rPr>
          <w:rFonts w:cs="Times New Roman"/>
          <w:color w:val="000000" w:themeColor="text1"/>
          <w:sz w:val="21"/>
          <w:szCs w:val="21"/>
        </w:rPr>
        <w:t>(9):81-94.</w:t>
      </w:r>
      <w:bookmarkEnd w:id="1"/>
    </w:p>
    <w:sectPr w:rsidR="00A811D2" w:rsidRPr="002E0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627EC" w14:textId="77777777" w:rsidR="00AC1D93" w:rsidRDefault="00AC1D93" w:rsidP="00A12A44">
      <w:r>
        <w:separator/>
      </w:r>
    </w:p>
  </w:endnote>
  <w:endnote w:type="continuationSeparator" w:id="0">
    <w:p w14:paraId="70910A68" w14:textId="77777777" w:rsidR="00AC1D93" w:rsidRDefault="00AC1D93" w:rsidP="00A12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03EDF" w14:textId="77777777" w:rsidR="00AC1D93" w:rsidRDefault="00AC1D93" w:rsidP="00A12A44">
      <w:r>
        <w:separator/>
      </w:r>
    </w:p>
  </w:footnote>
  <w:footnote w:type="continuationSeparator" w:id="0">
    <w:p w14:paraId="0B4E0535" w14:textId="77777777" w:rsidR="00AC1D93" w:rsidRDefault="00AC1D93" w:rsidP="00A12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0AC8B"/>
    <w:multiLevelType w:val="singleLevel"/>
    <w:tmpl w:val="2F30AC8B"/>
    <w:lvl w:ilvl="0">
      <w:start w:val="1"/>
      <w:numFmt w:val="decimal"/>
      <w:isLgl/>
      <w:suff w:val="nothing"/>
      <w:lvlText w:val="[%1]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sz w:val="21"/>
        <w:szCs w:val="21"/>
      </w:rPr>
    </w:lvl>
  </w:abstractNum>
  <w:num w:numId="1" w16cid:durableId="19276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1D2"/>
    <w:rsid w:val="0007000C"/>
    <w:rsid w:val="0008028F"/>
    <w:rsid w:val="00180571"/>
    <w:rsid w:val="001B3E2A"/>
    <w:rsid w:val="00241C19"/>
    <w:rsid w:val="00244B4E"/>
    <w:rsid w:val="00257EC5"/>
    <w:rsid w:val="002B7F7A"/>
    <w:rsid w:val="002E0FA2"/>
    <w:rsid w:val="002F11B0"/>
    <w:rsid w:val="00346302"/>
    <w:rsid w:val="003A6B43"/>
    <w:rsid w:val="00447BD1"/>
    <w:rsid w:val="00503D81"/>
    <w:rsid w:val="00557E04"/>
    <w:rsid w:val="005F4DB7"/>
    <w:rsid w:val="007148D6"/>
    <w:rsid w:val="00824936"/>
    <w:rsid w:val="00893A96"/>
    <w:rsid w:val="008B6DD9"/>
    <w:rsid w:val="00996520"/>
    <w:rsid w:val="009A06C5"/>
    <w:rsid w:val="009C0625"/>
    <w:rsid w:val="009E6F40"/>
    <w:rsid w:val="009F40A4"/>
    <w:rsid w:val="00A12A44"/>
    <w:rsid w:val="00A811D2"/>
    <w:rsid w:val="00A817DA"/>
    <w:rsid w:val="00AC1D93"/>
    <w:rsid w:val="00B452A2"/>
    <w:rsid w:val="00B63930"/>
    <w:rsid w:val="00C0242B"/>
    <w:rsid w:val="00C14588"/>
    <w:rsid w:val="00C9100A"/>
    <w:rsid w:val="00CE76E4"/>
    <w:rsid w:val="00D93B66"/>
    <w:rsid w:val="00DD3A69"/>
    <w:rsid w:val="00DF5285"/>
    <w:rsid w:val="00E50F33"/>
    <w:rsid w:val="00FB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510B97"/>
  <w15:chartTrackingRefBased/>
  <w15:docId w15:val="{0EA48FB2-CD29-45AC-8C49-E6261D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1D2"/>
    <w:pPr>
      <w:widowControl w:val="0"/>
      <w:jc w:val="both"/>
    </w:pPr>
    <w:rPr>
      <w:rFonts w:ascii="Times New Roman" w:eastAsia="宋体" w:hAnsi="Times New Roman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qFormat/>
    <w:rsid w:val="00A811D2"/>
    <w:pPr>
      <w:snapToGrid w:val="0"/>
      <w:jc w:val="left"/>
    </w:pPr>
    <w:rPr>
      <w:sz w:val="18"/>
      <w:szCs w:val="18"/>
    </w:rPr>
  </w:style>
  <w:style w:type="character" w:customStyle="1" w:styleId="a4">
    <w:name w:val="脚注文本 字符"/>
    <w:basedOn w:val="a0"/>
    <w:link w:val="a3"/>
    <w:uiPriority w:val="99"/>
    <w:semiHidden/>
    <w:rsid w:val="00A811D2"/>
    <w:rPr>
      <w:sz w:val="18"/>
      <w:szCs w:val="18"/>
    </w:rPr>
  </w:style>
  <w:style w:type="table" w:styleId="a5">
    <w:name w:val="Table Grid"/>
    <w:basedOn w:val="a1"/>
    <w:qFormat/>
    <w:rsid w:val="00A811D2"/>
    <w:pPr>
      <w:widowControl w:val="0"/>
      <w:jc w:val="both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12A4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12A44"/>
    <w:rPr>
      <w:rFonts w:ascii="Times New Roman" w:eastAsia="宋体" w:hAnsi="Times New Roman"/>
      <w:sz w:val="18"/>
      <w:szCs w:val="18"/>
      <w14:ligatures w14:val="none"/>
    </w:rPr>
  </w:style>
  <w:style w:type="paragraph" w:styleId="a8">
    <w:name w:val="footer"/>
    <w:basedOn w:val="a"/>
    <w:link w:val="a9"/>
    <w:uiPriority w:val="99"/>
    <w:unhideWhenUsed/>
    <w:rsid w:val="00A12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12A44"/>
    <w:rPr>
      <w:rFonts w:ascii="Times New Roman" w:eastAsia="宋体" w:hAnsi="Times New Roman"/>
      <w:sz w:val="18"/>
      <w:szCs w:val="18"/>
      <w14:ligatures w14:val="none"/>
    </w:rPr>
  </w:style>
  <w:style w:type="paragraph" w:styleId="aa">
    <w:name w:val="Revision"/>
    <w:hidden/>
    <w:uiPriority w:val="99"/>
    <w:semiHidden/>
    <w:rsid w:val="002B7F7A"/>
    <w:rPr>
      <w:rFonts w:ascii="Times New Roman" w:eastAsia="宋体" w:hAnsi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5" Type="http://schemas.openxmlformats.org/officeDocument/2006/relationships/chartUserShapes" Target="../drawings/drawing1.xml"/><Relationship Id="rId4" Type="http://schemas.openxmlformats.org/officeDocument/2006/relationships/oleObject" Target="file:///D:\&#30740;&#31350;&#29983;\&#28151;&#25913;&#35770;&#25991;&#36164;&#26009;\&#25130;&#31295;\2.&#25968;&#25454;&#37325;&#24324;\-03-8.11&#25968;&#25454;&#26032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2.xml"/><Relationship Id="rId4" Type="http://schemas.openxmlformats.org/officeDocument/2006/relationships/oleObject" Target="file:///D:\&#30740;&#31350;&#29983;\&#28151;&#25913;&#35770;&#25991;&#36164;&#26009;\&#25130;&#31295;\2.&#25968;&#25454;&#37325;&#24324;\-03-8.11&#25968;&#25454;&#26032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5" Type="http://schemas.openxmlformats.org/officeDocument/2006/relationships/chartUserShapes" Target="../drawings/drawing3.xml"/><Relationship Id="rId4" Type="http://schemas.openxmlformats.org/officeDocument/2006/relationships/oleObject" Target="file:///D:\&#30740;&#31350;&#29983;\&#28151;&#25913;&#35770;&#25991;&#36164;&#26009;\&#25130;&#31295;\2.&#25968;&#25454;&#37325;&#24324;\-03-8.11&#25968;&#25454;&#26032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5" Type="http://schemas.openxmlformats.org/officeDocument/2006/relationships/chartUserShapes" Target="../drawings/drawing4.xml"/><Relationship Id="rId4" Type="http://schemas.openxmlformats.org/officeDocument/2006/relationships/oleObject" Target="file:///D:\&#30740;&#31350;&#29983;\&#28151;&#25913;&#35770;&#25991;&#36164;&#26009;\&#25130;&#31295;\2.&#25968;&#25454;&#37325;&#24324;\-03-8.11&#25968;&#25454;&#26032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5" Type="http://schemas.openxmlformats.org/officeDocument/2006/relationships/chartUserShapes" Target="../drawings/drawing5.xml"/><Relationship Id="rId4" Type="http://schemas.openxmlformats.org/officeDocument/2006/relationships/oleObject" Target="file:///D:\&#30740;&#31350;&#29983;\&#28151;&#25913;&#35770;&#25991;&#36164;&#26009;\&#25130;&#31295;\2.&#25968;&#25454;&#37325;&#24324;\-03-8.11&#25968;&#25454;&#2603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9610331630356906"/>
          <c:y val="6.1662328877303121E-2"/>
          <c:w val="0.76617377560315247"/>
          <c:h val="0.77786161492937578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5847550306211825E-2"/>
                  <c:y val="-1.7746792067658206E-2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中国中免</a:t>
                    </a:r>
                  </a:p>
                </c:rich>
              </c:tx>
              <c:dLblPos val="r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A69E-48F7-888D-C5CEEEF54A92}"/>
                </c:ext>
              </c:extLst>
            </c:dLbl>
            <c:dLbl>
              <c:idx val="1"/>
              <c:layout>
                <c:manualLayout>
                  <c:x val="-0.13764405277154934"/>
                  <c:y val="3.0875718973276213E-2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北新建材，五粮液</a:t>
                    </a:r>
                  </a:p>
                </c:rich>
              </c:tx>
              <c:dLblPos val="r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6128891380299316"/>
                      <c:h val="9.4023837897940707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1-A69E-48F7-888D-C5CEEEF54A92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69E-48F7-888D-C5CEEEF54A92}"/>
                </c:ext>
              </c:extLst>
            </c:dLbl>
            <c:dLbl>
              <c:idx val="3"/>
              <c:layout>
                <c:manualLayout>
                  <c:x val="-6.8625328083989495E-2"/>
                  <c:y val="3.7808763487897343E-2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中材科技</a:t>
                    </a:r>
                  </a:p>
                </c:rich>
              </c:tx>
              <c:dLblPos val="r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A69E-48F7-888D-C5CEEEF54A92}"/>
                </c:ext>
              </c:extLst>
            </c:dLbl>
            <c:dLbl>
              <c:idx val="4"/>
              <c:layout>
                <c:manualLayout>
                  <c:x val="-0.13888903373833239"/>
                  <c:y val="-3.234060151603371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宋体" panose="02010600030101010101" pitchFamily="2" charset="-122"/>
                        <a:cs typeface="+mn-cs"/>
                      </a:defRPr>
                    </a:pPr>
                    <a:r>
                      <a:rPr lang="zh-CN" altLang="en-US" sz="800" baseline="0">
                        <a:latin typeface="Times New Roman" panose="02020603050405020304" pitchFamily="18" charset="0"/>
                        <a:ea typeface="宋体" panose="02010600030101010101" pitchFamily="2" charset="-122"/>
                      </a:rPr>
                      <a:t>贵州茅台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宋体" panose="02010600030101010101" pitchFamily="2" charset="-122"/>
                      <a:cs typeface="+mn-cs"/>
                    </a:defRPr>
                  </a:pPr>
                  <a:endParaRPr lang="zh-CN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8319444444444441"/>
                      <c:h val="8.789370078740158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4-A69E-48F7-888D-C5CEEEF54A92}"/>
                </c:ext>
              </c:extLst>
            </c:dLbl>
            <c:dLbl>
              <c:idx val="5"/>
              <c:layout>
                <c:manualLayout>
                  <c:x val="-0.10639535641654065"/>
                  <c:y val="5.1447560070886009E-2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保利发展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A69E-48F7-888D-C5CEEEF54A9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  <a:cs typeface="+mn-cs"/>
                  </a:defRPr>
                </a:pPr>
                <a:endParaRPr lang="zh-CN"/>
              </a:p>
            </c:txPr>
            <c:dLblPos val="b"/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'(2,0.8;0.7)'!$D$170:$D$175</c:f>
              <c:numCache>
                <c:formatCode>General</c:formatCode>
                <c:ptCount val="6"/>
                <c:pt idx="0">
                  <c:v>0.69</c:v>
                </c:pt>
                <c:pt idx="1">
                  <c:v>0.57999999999999996</c:v>
                </c:pt>
                <c:pt idx="2">
                  <c:v>0.57999999999999996</c:v>
                </c:pt>
                <c:pt idx="3">
                  <c:v>0.57999999999999996</c:v>
                </c:pt>
                <c:pt idx="4">
                  <c:v>0.57999999999999996</c:v>
                </c:pt>
                <c:pt idx="5">
                  <c:v>0.501</c:v>
                </c:pt>
              </c:numCache>
            </c:numRef>
          </c:xVal>
          <c:yVal>
            <c:numRef>
              <c:f>'(2,0.8;0.7)'!$E$170:$E$175</c:f>
              <c:numCache>
                <c:formatCode>General</c:formatCode>
                <c:ptCount val="6"/>
                <c:pt idx="0">
                  <c:v>0.96</c:v>
                </c:pt>
                <c:pt idx="1">
                  <c:v>0.92</c:v>
                </c:pt>
                <c:pt idx="2">
                  <c:v>0.92</c:v>
                </c:pt>
                <c:pt idx="3">
                  <c:v>0.8</c:v>
                </c:pt>
                <c:pt idx="4">
                  <c:v>0.96</c:v>
                </c:pt>
                <c:pt idx="5">
                  <c:v>0.63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A69E-48F7-888D-C5CEEEF54A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7985408"/>
        <c:axId val="958458656"/>
      </c:scatterChart>
      <c:valAx>
        <c:axId val="667985408"/>
        <c:scaling>
          <c:orientation val="minMax"/>
          <c:max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 sz="900" baseline="0">
                    <a:ea typeface="宋体" panose="02010600030101010101" pitchFamily="2" charset="-122"/>
                  </a:rPr>
                  <a:t>组态</a:t>
                </a:r>
                <a:r>
                  <a:rPr lang="en-US" altLang="zh-CN" sz="900" baseline="0">
                    <a:latin typeface="Times New Roman" panose="02020603050405020304" pitchFamily="18" charset="0"/>
                    <a:ea typeface="宋体" panose="02010600030101010101" pitchFamily="2" charset="-122"/>
                  </a:rPr>
                  <a:t>2</a:t>
                </a:r>
                <a:r>
                  <a:rPr lang="zh-CN" altLang="en-US" sz="900" baseline="0">
                    <a:ea typeface="宋体" panose="02010600030101010101" pitchFamily="2" charset="-122"/>
                  </a:rPr>
                  <a:t>的隶属度</a:t>
                </a:r>
              </a:p>
            </c:rich>
          </c:tx>
          <c:layout>
            <c:manualLayout>
              <c:xMode val="edge"/>
              <c:yMode val="edge"/>
              <c:x val="0.40749997692257994"/>
              <c:y val="0.9110529072812989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958458656"/>
        <c:crosses val="autoZero"/>
        <c:crossBetween val="midCat"/>
        <c:majorUnit val="0.5"/>
        <c:minorUnit val="0.5"/>
      </c:valAx>
      <c:valAx>
        <c:axId val="958458656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  <a:cs typeface="+mn-cs"/>
                  </a:defRPr>
                </a:pPr>
                <a:r>
                  <a:rPr lang="zh-CN" altLang="en-US" sz="900" baseline="0">
                    <a:latin typeface="Times New Roman" panose="02020603050405020304" pitchFamily="18" charset="0"/>
                    <a:ea typeface="宋体" panose="02010600030101010101" pitchFamily="2" charset="-122"/>
                  </a:rPr>
                  <a:t>高混改绩效的隶属度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宋体" panose="02010600030101010101" pitchFamily="2" charset="-122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67985408"/>
        <c:crosses val="autoZero"/>
        <c:crossBetween val="midCat"/>
        <c:majorUnit val="0.5"/>
        <c:min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  <c:userShapes r:id="rId5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6890419256075601"/>
          <c:y val="5.2362006386481273E-2"/>
          <c:w val="0.79325879802698396"/>
          <c:h val="0.73400384775580629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755491881566383E-3"/>
                  <c:y val="3.4877927254608872E-2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北新建材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7CB2-4018-B227-EF8225A5C38F}"/>
                </c:ext>
              </c:extLst>
            </c:dLbl>
            <c:dLbl>
              <c:idx val="1"/>
              <c:layout>
                <c:manualLayout>
                  <c:x val="-9.5510983763134518E-3"/>
                  <c:y val="-2.9895366218236172E-2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中国中免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7CB2-4018-B227-EF8225A5C38F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zh-CN" altLang="en-US"/>
                      <a:t>国电南瑞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7CB2-4018-B227-EF8225A5C3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'(2,0.8;0.7)'!$E$137:$E$139</c:f>
              <c:numCache>
                <c:formatCode>General</c:formatCode>
                <c:ptCount val="3"/>
                <c:pt idx="0">
                  <c:v>0.86</c:v>
                </c:pt>
                <c:pt idx="1">
                  <c:v>0.69</c:v>
                </c:pt>
                <c:pt idx="2">
                  <c:v>0.52</c:v>
                </c:pt>
              </c:numCache>
            </c:numRef>
          </c:xVal>
          <c:yVal>
            <c:numRef>
              <c:f>'(2,0.8;0.7)'!$F$137:$F$139</c:f>
              <c:numCache>
                <c:formatCode>General</c:formatCode>
                <c:ptCount val="3"/>
                <c:pt idx="0">
                  <c:v>0.92</c:v>
                </c:pt>
                <c:pt idx="1">
                  <c:v>0.96</c:v>
                </c:pt>
                <c:pt idx="2">
                  <c:v>0.89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7CB2-4018-B227-EF8225A5C38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662518128"/>
        <c:axId val="577263392"/>
      </c:scatterChart>
      <c:valAx>
        <c:axId val="662518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  <a:cs typeface="+mn-cs"/>
                  </a:defRPr>
                </a:pPr>
                <a:r>
                  <a:rPr lang="zh-CN" altLang="en-US" sz="900" baseline="0">
                    <a:latin typeface="Times New Roman" panose="02020603050405020304" pitchFamily="18" charset="0"/>
                    <a:ea typeface="宋体" panose="02010600030101010101" pitchFamily="2" charset="-122"/>
                  </a:rPr>
                  <a:t>组态</a:t>
                </a:r>
                <a:r>
                  <a:rPr lang="en-US" altLang="zh-CN" sz="900" baseline="0">
                    <a:latin typeface="Times New Roman" panose="02020603050405020304" pitchFamily="18" charset="0"/>
                    <a:ea typeface="宋体" panose="02010600030101010101" pitchFamily="2" charset="-122"/>
                  </a:rPr>
                  <a:t>1</a:t>
                </a:r>
                <a:r>
                  <a:rPr lang="zh-CN" altLang="en-US" sz="900" baseline="0">
                    <a:latin typeface="Times New Roman" panose="02020603050405020304" pitchFamily="18" charset="0"/>
                    <a:ea typeface="宋体" panose="02010600030101010101" pitchFamily="2" charset="-122"/>
                  </a:rPr>
                  <a:t>的隶属度</a:t>
                </a:r>
              </a:p>
            </c:rich>
          </c:tx>
          <c:layout>
            <c:manualLayout>
              <c:xMode val="edge"/>
              <c:yMode val="edge"/>
              <c:x val="0.39419827177763239"/>
              <c:y val="0.8654147491653229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宋体" panose="02010600030101010101" pitchFamily="2" charset="-122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577263392"/>
        <c:crosses val="autoZero"/>
        <c:crossBetween val="midCat"/>
        <c:majorUnit val="0.5"/>
        <c:minorUnit val="0.5"/>
      </c:valAx>
      <c:valAx>
        <c:axId val="577263392"/>
        <c:scaling>
          <c:orientation val="minMax"/>
          <c:max val="1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  <a:cs typeface="+mn-cs"/>
                  </a:defRPr>
                </a:pPr>
                <a:r>
                  <a:rPr lang="zh-CN" altLang="en-US" sz="900" baseline="0">
                    <a:latin typeface="Times New Roman" panose="02020603050405020304" pitchFamily="18" charset="0"/>
                    <a:ea typeface="宋体" panose="02010600030101010101" pitchFamily="2" charset="-122"/>
                  </a:rPr>
                  <a:t>高混改绩效的隶属度</a:t>
                </a:r>
              </a:p>
            </c:rich>
          </c:tx>
          <c:layout>
            <c:manualLayout>
              <c:xMode val="edge"/>
              <c:yMode val="edge"/>
              <c:x val="0"/>
              <c:y val="0.1899819136957656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宋体" panose="02010600030101010101" pitchFamily="2" charset="-122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62518128"/>
        <c:crosses val="autoZero"/>
        <c:crossBetween val="midCat"/>
        <c:majorUnit val="0.5"/>
        <c:min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  <c:userShapes r:id="rId5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9263370369696856"/>
          <c:y val="2.6100155500468153E-2"/>
          <c:w val="0.75422269098579764"/>
          <c:h val="0.80338103498423308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r>
                      <a:rPr lang="zh-CN" altLang="en-US"/>
                      <a:t>中金辐照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9C7E-424A-8D38-A262726AE58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'(2,0.8;0.7)'!$D$154</c:f>
              <c:numCache>
                <c:formatCode>General</c:formatCode>
                <c:ptCount val="1"/>
                <c:pt idx="0">
                  <c:v>0.78</c:v>
                </c:pt>
              </c:numCache>
            </c:numRef>
          </c:xVal>
          <c:yVal>
            <c:numRef>
              <c:f>'(2,0.8;0.7)'!$E$154</c:f>
              <c:numCache>
                <c:formatCode>General</c:formatCode>
                <c:ptCount val="1"/>
                <c:pt idx="0">
                  <c:v>0.84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C7E-424A-8D38-A262726AE5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72943920"/>
        <c:axId val="652105520"/>
      </c:scatterChart>
      <c:valAx>
        <c:axId val="672943920"/>
        <c:scaling>
          <c:orientation val="minMax"/>
          <c:max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 sz="9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</a:rPr>
                  <a:t>组态</a:t>
                </a:r>
                <a:r>
                  <a:rPr lang="en-US" altLang="zh-CN" sz="9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</a:rPr>
                  <a:t>4</a:t>
                </a:r>
                <a:r>
                  <a:rPr lang="zh-CN" altLang="en-US" sz="9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</a:rPr>
                  <a:t>的隶属度</a:t>
                </a:r>
              </a:p>
            </c:rich>
          </c:tx>
          <c:layout>
            <c:manualLayout>
              <c:xMode val="edge"/>
              <c:yMode val="edge"/>
              <c:x val="0.39603952345665783"/>
              <c:y val="0.9084406294706723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52105520"/>
        <c:crosses val="autoZero"/>
        <c:crossBetween val="midCat"/>
        <c:majorUnit val="0.5"/>
        <c:minorUnit val="0.5"/>
      </c:valAx>
      <c:valAx>
        <c:axId val="652105520"/>
        <c:scaling>
          <c:orientation val="minMax"/>
          <c:max val="1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 sz="9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</a:rPr>
                  <a:t>高混改绩效的隶属度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72943920"/>
        <c:crosses val="autoZero"/>
        <c:crossBetween val="midCat"/>
        <c:majorUnit val="0.5"/>
        <c:minorUnit val="0.5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  <c:userShapes r:id="rId5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6535649637881902"/>
          <c:y val="3.8323363144506385E-2"/>
          <c:w val="0.79627540827394283"/>
          <c:h val="0.78944153918602955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6.8760027504010165E-3"/>
                  <c:y val="-7.4039191170573396E-3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环球印务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533D-480C-BB77-A1B745BF77D2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zh-CN" altLang="en-US"/>
                      <a:t>威孚高科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533D-480C-BB77-A1B745BF77D2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zh-CN" altLang="en-US"/>
                      <a:t>南京医药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533D-480C-BB77-A1B745BF77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'(2,0.8;0.7)'!$D$144:$D$146</c:f>
              <c:numCache>
                <c:formatCode>General</c:formatCode>
                <c:ptCount val="3"/>
                <c:pt idx="0">
                  <c:v>0.61</c:v>
                </c:pt>
                <c:pt idx="1">
                  <c:v>0.55000000000000004</c:v>
                </c:pt>
                <c:pt idx="2">
                  <c:v>0.54</c:v>
                </c:pt>
              </c:numCache>
            </c:numRef>
          </c:xVal>
          <c:yVal>
            <c:numRef>
              <c:f>'(2,0.8;0.7)'!$E$144:$E$146</c:f>
              <c:numCache>
                <c:formatCode>General</c:formatCode>
                <c:ptCount val="3"/>
                <c:pt idx="0">
                  <c:v>0.88</c:v>
                </c:pt>
                <c:pt idx="1">
                  <c:v>0.94</c:v>
                </c:pt>
                <c:pt idx="2">
                  <c:v>0.66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33D-480C-BB77-A1B745BF77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72946240"/>
        <c:axId val="958472576"/>
      </c:scatterChart>
      <c:valAx>
        <c:axId val="672946240"/>
        <c:scaling>
          <c:orientation val="minMax"/>
          <c:max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 sz="900" baseline="0">
                    <a:latin typeface="Times New Roman" panose="02020603050405020304" pitchFamily="18" charset="0"/>
                    <a:ea typeface="宋体" panose="02010600030101010101" pitchFamily="2" charset="-122"/>
                  </a:rPr>
                  <a:t>组态</a:t>
                </a:r>
                <a:r>
                  <a:rPr lang="en-US" altLang="zh-CN" sz="900" baseline="0">
                    <a:latin typeface="Times New Roman" panose="02020603050405020304" pitchFamily="18" charset="0"/>
                    <a:ea typeface="宋体" panose="02010600030101010101" pitchFamily="2" charset="-122"/>
                  </a:rPr>
                  <a:t>3</a:t>
                </a:r>
                <a:r>
                  <a:rPr lang="zh-CN" altLang="en-US" sz="900" baseline="0">
                    <a:latin typeface="Times New Roman" panose="02020603050405020304" pitchFamily="18" charset="0"/>
                    <a:ea typeface="宋体" panose="02010600030101010101" pitchFamily="2" charset="-122"/>
                  </a:rPr>
                  <a:t>的隶属度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58472576"/>
        <c:crosses val="autoZero"/>
        <c:crossBetween val="midCat"/>
        <c:majorUnit val="0.5"/>
        <c:minorUnit val="0.5"/>
      </c:valAx>
      <c:valAx>
        <c:axId val="9584725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 sz="9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</a:rPr>
                  <a:t>高混改绩效的隶属度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72946240"/>
        <c:crosses val="autoZero"/>
        <c:crossBetween val="midCat"/>
        <c:majorUnit val="0.5"/>
        <c:minorUnit val="0.5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  <c:userShapes r:id="rId5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0407089509031959"/>
          <c:y val="7.407407407407407E-2"/>
          <c:w val="0.75801550196850398"/>
          <c:h val="0.77019824736360165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0.10054177602799651"/>
                  <c:y val="-5.320610965296009E-2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浙商中拓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7BDE-45B0-BB9E-12482F4EE6E4}"/>
                </c:ext>
              </c:extLst>
            </c:dLbl>
            <c:dLbl>
              <c:idx val="1"/>
              <c:layout>
                <c:manualLayout>
                  <c:x val="-4.1666666666666666E-3"/>
                  <c:y val="2.2719816272965838E-2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江苏国泰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7BDE-45B0-BB9E-12482F4EE6E4}"/>
                </c:ext>
              </c:extLst>
            </c:dLbl>
            <c:dLbl>
              <c:idx val="2"/>
              <c:layout>
                <c:manualLayout>
                  <c:x val="-0.16773897058823528"/>
                  <c:y val="-6.432261235410841E-2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山东章鼓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7BDE-45B0-BB9E-12482F4EE6E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'(2,0.8;0.7)'!$D$160:$D$162</c:f>
              <c:numCache>
                <c:formatCode>General</c:formatCode>
                <c:ptCount val="3"/>
                <c:pt idx="0">
                  <c:v>0.57999999999999996</c:v>
                </c:pt>
                <c:pt idx="1">
                  <c:v>0.57999999999999996</c:v>
                </c:pt>
                <c:pt idx="2">
                  <c:v>0.51</c:v>
                </c:pt>
              </c:numCache>
            </c:numRef>
          </c:xVal>
          <c:yVal>
            <c:numRef>
              <c:f>'(2,0.8;0.7)'!$E$160:$E$162</c:f>
              <c:numCache>
                <c:formatCode>General</c:formatCode>
                <c:ptCount val="3"/>
                <c:pt idx="0">
                  <c:v>0.8</c:v>
                </c:pt>
                <c:pt idx="1">
                  <c:v>0.74</c:v>
                </c:pt>
                <c:pt idx="2">
                  <c:v>0.6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7BDE-45B0-BB9E-12482F4EE6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70799712"/>
        <c:axId val="958462496"/>
      </c:scatterChart>
      <c:valAx>
        <c:axId val="970799712"/>
        <c:scaling>
          <c:orientation val="minMax"/>
          <c:max val="1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 sz="9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</a:rPr>
                  <a:t>组态</a:t>
                </a:r>
                <a:r>
                  <a:rPr lang="en-US" altLang="zh-CN" sz="9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</a:rPr>
                  <a:t>5</a:t>
                </a:r>
                <a:r>
                  <a:rPr lang="zh-CN" altLang="en-US" sz="9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</a:rPr>
                  <a:t>的隶属度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958462496"/>
        <c:crosses val="autoZero"/>
        <c:crossBetween val="midCat"/>
        <c:majorUnit val="0.5"/>
        <c:minorUnit val="0.5"/>
      </c:valAx>
      <c:valAx>
        <c:axId val="958462496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 sz="9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宋体" panose="02010600030101010101" pitchFamily="2" charset="-122"/>
                  </a:rPr>
                  <a:t>高混改绩效的隶属度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970799712"/>
        <c:crosses val="autoZero"/>
        <c:crossBetween val="midCat"/>
        <c:majorUnit val="0.5"/>
        <c:minorUnit val="0.5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0.19703</cdr:x>
      <cdr:y>0.05867</cdr:y>
    </cdr:from>
    <cdr:to>
      <cdr:x>0.96022</cdr:x>
      <cdr:y>0.84088</cdr:y>
    </cdr:to>
    <cdr:cxnSp macro="">
      <cdr:nvCxnSpPr>
        <cdr:cNvPr id="3" name="直接连接符 2">
          <a:extLst xmlns:a="http://schemas.openxmlformats.org/drawingml/2006/main">
            <a:ext uri="{FF2B5EF4-FFF2-40B4-BE49-F238E27FC236}">
              <a16:creationId xmlns:a16="http://schemas.microsoft.com/office/drawing/2014/main" id="{AFAB9F5C-6884-331C-8C36-072B7114C5E1}"/>
            </a:ext>
          </a:extLst>
        </cdr:cNvPr>
        <cdr:cNvCxnSpPr/>
      </cdr:nvCxnSpPr>
      <cdr:spPr>
        <a:xfrm xmlns:a="http://schemas.openxmlformats.org/drawingml/2006/main" flipV="1">
          <a:off x="547255" y="145473"/>
          <a:ext cx="2119745" cy="1939636"/>
        </a:xfrm>
        <a:prstGeom xmlns:a="http://schemas.openxmlformats.org/drawingml/2006/main" prst="line">
          <a:avLst/>
        </a:prstGeom>
        <a:ln xmlns:a="http://schemas.openxmlformats.org/drawingml/2006/main" w="3175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0.16553</cdr:x>
      <cdr:y>0.0632</cdr:y>
    </cdr:from>
    <cdr:to>
      <cdr:x>0.95232</cdr:x>
      <cdr:y>0.78858</cdr:y>
    </cdr:to>
    <cdr:cxnSp macro="">
      <cdr:nvCxnSpPr>
        <cdr:cNvPr id="7" name="直接连接符 6">
          <a:extLst xmlns:a="http://schemas.openxmlformats.org/drawingml/2006/main">
            <a:ext uri="{FF2B5EF4-FFF2-40B4-BE49-F238E27FC236}">
              <a16:creationId xmlns:a16="http://schemas.microsoft.com/office/drawing/2014/main" id="{AE631C09-0A0A-9954-16C2-4EE4DF609C11}"/>
            </a:ext>
          </a:extLst>
        </cdr:cNvPr>
        <cdr:cNvCxnSpPr/>
      </cdr:nvCxnSpPr>
      <cdr:spPr>
        <a:xfrm xmlns:a="http://schemas.openxmlformats.org/drawingml/2006/main" flipV="1">
          <a:off x="431071" y="159327"/>
          <a:ext cx="2048893" cy="1828647"/>
        </a:xfrm>
        <a:prstGeom xmlns:a="http://schemas.openxmlformats.org/drawingml/2006/main" prst="line">
          <a:avLst/>
        </a:prstGeom>
        <a:ln xmlns:a="http://schemas.openxmlformats.org/drawingml/2006/main" w="6350">
          <a:solidFill>
            <a:schemeClr val="bg1">
              <a:lumMod val="85000"/>
            </a:schemeClr>
          </a:solidFill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0.18322</cdr:x>
      <cdr:y>0.02857</cdr:y>
    </cdr:from>
    <cdr:to>
      <cdr:x>0.9347</cdr:x>
      <cdr:y>0.82767</cdr:y>
    </cdr:to>
    <cdr:cxnSp macro="">
      <cdr:nvCxnSpPr>
        <cdr:cNvPr id="3" name="直接连接符 2">
          <a:extLst xmlns:a="http://schemas.openxmlformats.org/drawingml/2006/main">
            <a:ext uri="{FF2B5EF4-FFF2-40B4-BE49-F238E27FC236}">
              <a16:creationId xmlns:a16="http://schemas.microsoft.com/office/drawing/2014/main" id="{C32F87D9-847F-3077-F2BA-AD5B5D5ACDEB}"/>
            </a:ext>
          </a:extLst>
        </cdr:cNvPr>
        <cdr:cNvCxnSpPr/>
      </cdr:nvCxnSpPr>
      <cdr:spPr>
        <a:xfrm xmlns:a="http://schemas.openxmlformats.org/drawingml/2006/main" flipV="1">
          <a:off x="503767" y="69273"/>
          <a:ext cx="2066251" cy="1937344"/>
        </a:xfrm>
        <a:prstGeom xmlns:a="http://schemas.openxmlformats.org/drawingml/2006/main" prst="line">
          <a:avLst/>
        </a:prstGeom>
        <a:ln xmlns:a="http://schemas.openxmlformats.org/drawingml/2006/main" w="3175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0.16502</cdr:x>
      <cdr:y>0.04274</cdr:y>
    </cdr:from>
    <cdr:to>
      <cdr:x>0.95764</cdr:x>
      <cdr:y>0.82338</cdr:y>
    </cdr:to>
    <cdr:cxnSp macro="">
      <cdr:nvCxnSpPr>
        <cdr:cNvPr id="5" name="直接连接符 4">
          <a:extLst xmlns:a="http://schemas.openxmlformats.org/drawingml/2006/main">
            <a:ext uri="{FF2B5EF4-FFF2-40B4-BE49-F238E27FC236}">
              <a16:creationId xmlns:a16="http://schemas.microsoft.com/office/drawing/2014/main" id="{C62F99A3-751D-EC43-25AC-D168A2FD7E06}"/>
            </a:ext>
          </a:extLst>
        </cdr:cNvPr>
        <cdr:cNvCxnSpPr/>
      </cdr:nvCxnSpPr>
      <cdr:spPr>
        <a:xfrm xmlns:a="http://schemas.openxmlformats.org/drawingml/2006/main" flipV="1">
          <a:off x="457200" y="103909"/>
          <a:ext cx="2195946" cy="1898073"/>
        </a:xfrm>
        <a:prstGeom xmlns:a="http://schemas.openxmlformats.org/drawingml/2006/main" prst="line">
          <a:avLst/>
        </a:prstGeom>
        <a:ln xmlns:a="http://schemas.openxmlformats.org/drawingml/2006/main" w="3175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0.20555</cdr:x>
      <cdr:y>0.07346</cdr:y>
    </cdr:from>
    <cdr:to>
      <cdr:x>0.95755</cdr:x>
      <cdr:y>0.84199</cdr:y>
    </cdr:to>
    <cdr:cxnSp macro="">
      <cdr:nvCxnSpPr>
        <cdr:cNvPr id="3" name="直接连接符 2"/>
        <cdr:cNvCxnSpPr/>
      </cdr:nvCxnSpPr>
      <cdr:spPr>
        <a:xfrm xmlns:a="http://schemas.openxmlformats.org/drawingml/2006/main" flipV="1">
          <a:off x="568036" y="180109"/>
          <a:ext cx="2078182" cy="1884218"/>
        </a:xfrm>
        <a:prstGeom xmlns:a="http://schemas.openxmlformats.org/drawingml/2006/main" prst="line">
          <a:avLst/>
        </a:prstGeom>
        <a:ln xmlns:a="http://schemas.openxmlformats.org/drawingml/2006/main" w="3175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源 刘</dc:creator>
  <cp:keywords/>
  <dc:description/>
  <cp:lastModifiedBy>源 刘</cp:lastModifiedBy>
  <cp:revision>15</cp:revision>
  <dcterms:created xsi:type="dcterms:W3CDTF">2025-06-18T06:02:00Z</dcterms:created>
  <dcterms:modified xsi:type="dcterms:W3CDTF">2025-08-31T15:37:00Z</dcterms:modified>
</cp:coreProperties>
</file>